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Prüfungsordnung der Handwerkskammer für die Durchführung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von Fortbildungsprüfungen gemäß § 42 c Absatz 1 in Verbindung mit § 38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Handwerksordnung vom 1. Februar 2012, geändert am 01.10.2013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Fassung berücksichtigt die Empfehlung des Berufsbildungsausschusses vom 20.08.2013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den Beschluss der Vollversammlung vom 23.09.2013 gem. § 38 Absatz 1 Satz 1 und § 42i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Absatz 3 Satz 2 der Handwerksordnung (HWO) in der Fassung der Bekanntmachung vom 24</w:t>
      </w:r>
      <w:r w:rsidR="007B06A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September 1998 (BGBl. I S 3074, 2006 I S. 2095) zuletzt geändert durch Artikel 2 des Gesetzes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vom 5. Dezember 2012 (BGBI. I S. 2415), mit dem § 27 Absatz 2 geändert wurde.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Abschnitt: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Prüfungsausschüsse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 Errichtung</w:t>
      </w:r>
    </w:p>
    <w:p w:rsidR="007B06A1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Für die Durchführung von Prüfungen im Bereich der beruflichen Fortbildung errichtet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Prüfungsausschüsse (§ 42 c Abs. 1 Satz 1 HwO). Diese Prüfungsordnung</w:t>
      </w:r>
      <w:r w:rsidR="00422F80">
        <w:rPr>
          <w:rFonts w:ascii="Arial" w:hAnsi="Arial" w:cs="Arial"/>
          <w:sz w:val="22"/>
          <w:szCs w:val="22"/>
        </w:rPr>
        <w:t xml:space="preserve"> gilt für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Durchführung von Prüfungen gemäß § 42c Abs. 1 in Verbindung mit § 38 HwO und</w:t>
      </w:r>
      <w:r w:rsidR="00422F80">
        <w:rPr>
          <w:rFonts w:ascii="Arial" w:hAnsi="Arial" w:cs="Arial"/>
          <w:sz w:val="22"/>
          <w:szCs w:val="22"/>
        </w:rPr>
        <w:t xml:space="preserve"> ist für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Durchführung von Prüfungen nach den aufgrund des § 30 Abs. 5</w:t>
      </w:r>
      <w:r w:rsidR="00422F80">
        <w:rPr>
          <w:rFonts w:ascii="Arial" w:hAnsi="Arial" w:cs="Arial"/>
          <w:sz w:val="22"/>
          <w:szCs w:val="22"/>
        </w:rPr>
        <w:t xml:space="preserve"> Berufsbildungsgesetz erlassenen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Rechtsverordnungen über den Nachweis berufs- und</w:t>
      </w:r>
      <w:r w:rsidR="00422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arbeitspädagog</w:t>
      </w:r>
      <w:r w:rsidR="00422F80">
        <w:rPr>
          <w:rFonts w:ascii="Arial" w:hAnsi="Arial" w:cs="Arial"/>
          <w:sz w:val="22"/>
          <w:szCs w:val="22"/>
        </w:rPr>
        <w:t>ischer Fertigkeiten, Kenntnisse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Fähigkeiten entsprechend anzuwenden.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Soweit die Fortbildungsregelungen nach §§ 42 und 42 a HwO selbstständige Prüfungsteile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einhalten, können zur Durchführung der Teilprüfungen eigene Prüfungsausschüsse gebildet</w:t>
      </w:r>
      <w:r w:rsidR="00422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Die Handwerkskammer kann mit einer anderen zuständigen Stelle oder mit</w:t>
      </w:r>
      <w:r w:rsidR="00422F80">
        <w:rPr>
          <w:rFonts w:ascii="Arial" w:hAnsi="Arial" w:cs="Arial"/>
          <w:sz w:val="22"/>
          <w:szCs w:val="22"/>
        </w:rPr>
        <w:t xml:space="preserve"> mehreren anderen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zuständigen Stellen bei einer von ihnen einen gemeinsamen</w:t>
      </w:r>
      <w:r w:rsidR="00422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 errichten.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 Zusammensetzung und Berufung</w:t>
      </w:r>
    </w:p>
    <w:p w:rsidR="00157714" w:rsidRDefault="00157714" w:rsidP="00A212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2"/>
          <w:szCs w:val="22"/>
        </w:rPr>
        <w:t>1) Der Prüfungsausschuss besteht aus mindestens drei Mitgliedern. Die Mitglieder von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Prüfungsausschüssen sind hinsichtlich der Beurteilung der Prüfungsleistungen unabhängig und</w:t>
      </w:r>
      <w:r w:rsidR="00422F80">
        <w:rPr>
          <w:rFonts w:ascii="Arial" w:hAnsi="Arial" w:cs="Arial"/>
          <w:sz w:val="22"/>
          <w:szCs w:val="22"/>
        </w:rPr>
        <w:t xml:space="preserve"> nicht an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Weisungen gebunden. Die Mitglieder müssen für die Prüfungsgebiete sachkundig und</w:t>
      </w:r>
      <w:r w:rsidR="00422F80">
        <w:rPr>
          <w:rFonts w:ascii="Arial" w:hAnsi="Arial" w:cs="Arial"/>
          <w:sz w:val="22"/>
          <w:szCs w:val="22"/>
        </w:rPr>
        <w:t xml:space="preserve"> für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Mitwirkung im Prüfungswesen geeignet sein.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Dem Prüfungsausschuss müssen als Mitglieder bei Fortbildungsprüfungen für</w:t>
      </w:r>
      <w:r w:rsidR="00422F80">
        <w:rPr>
          <w:rFonts w:ascii="Arial" w:hAnsi="Arial" w:cs="Arial"/>
          <w:sz w:val="22"/>
          <w:szCs w:val="22"/>
        </w:rPr>
        <w:t xml:space="preserve"> zulassungspflichtige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Handwerke Arbeitgeber* oder Betriebsleiter und Arbeitnehmer in gleicher</w:t>
      </w:r>
      <w:r w:rsidR="00422F80">
        <w:rPr>
          <w:rFonts w:ascii="Arial" w:hAnsi="Arial" w:cs="Arial"/>
          <w:sz w:val="22"/>
          <w:szCs w:val="22"/>
        </w:rPr>
        <w:t xml:space="preserve"> Zahl, bei sonstigen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Fortbildungsprüfungen Beauftragte der Arbeitgeber und der Arbeitnehmer in</w:t>
      </w:r>
      <w:r w:rsidR="00422F80">
        <w:rPr>
          <w:rFonts w:ascii="Arial" w:hAnsi="Arial" w:cs="Arial"/>
          <w:sz w:val="22"/>
          <w:szCs w:val="22"/>
        </w:rPr>
        <w:t xml:space="preserve"> gleicher Zahl sowie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mindestens eine Person, die als Lehrkraft im beruflichen Schul- oder</w:t>
      </w:r>
      <w:r w:rsidR="00422F80">
        <w:rPr>
          <w:rFonts w:ascii="Arial" w:hAnsi="Arial" w:cs="Arial"/>
          <w:sz w:val="22"/>
          <w:szCs w:val="22"/>
        </w:rPr>
        <w:t xml:space="preserve"> Fortbildungswesen tätig ist,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angehören. Mindestens zwei Drittel der Gesamtzahl der Mitglieder</w:t>
      </w:r>
      <w:r w:rsidR="00422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422F80">
        <w:rPr>
          <w:rFonts w:ascii="Arial" w:hAnsi="Arial" w:cs="Arial"/>
          <w:sz w:val="22"/>
          <w:szCs w:val="22"/>
        </w:rPr>
        <w:t>üssen bei Fortbildungsprüfungen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zulassungspflichtige Handwerke Arbeitgeber und</w:t>
      </w:r>
      <w:r w:rsidR="00422F80">
        <w:rPr>
          <w:rFonts w:ascii="Arial" w:hAnsi="Arial" w:cs="Arial"/>
          <w:sz w:val="22"/>
          <w:szCs w:val="22"/>
        </w:rPr>
        <w:t xml:space="preserve"> Arbeitnehmer, bei sonstigen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Fortbildungsprüfungen Beauftragte der Arbeitgeber und der</w:t>
      </w:r>
      <w:r w:rsidR="00422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Arbeitnehmer sein.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Bei Fortbildungsprüfungen für zulassungspflichtige Handwerke müssen die Arbeitgeber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Meisterprüfung in dem Handwerk abgelegt haben, für das der Prüfungsausschuss errichtet</w:t>
      </w:r>
      <w:r w:rsidR="00422F80">
        <w:rPr>
          <w:rFonts w:ascii="Arial" w:hAnsi="Arial" w:cs="Arial"/>
          <w:sz w:val="22"/>
          <w:szCs w:val="22"/>
        </w:rPr>
        <w:t xml:space="preserve"> wurde. Bei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sonstigen Fortbildungsprüfungen müssen die Beauftragten der Arbeitgeber die</w:t>
      </w:r>
      <w:r w:rsidR="00422F80">
        <w:rPr>
          <w:rFonts w:ascii="Arial" w:hAnsi="Arial" w:cs="Arial"/>
          <w:sz w:val="22"/>
          <w:szCs w:val="22"/>
        </w:rPr>
        <w:t xml:space="preserve"> Gesellenprüfung oder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entsprechende Abschlussprüfung nach § 4 des BBiG bestanden</w:t>
      </w:r>
      <w:r w:rsidR="008011D5">
        <w:rPr>
          <w:rFonts w:ascii="Arial" w:hAnsi="Arial" w:cs="Arial"/>
          <w:sz w:val="22"/>
          <w:szCs w:val="22"/>
        </w:rPr>
        <w:t xml:space="preserve"> haben. Die Arbeitnehmer und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Beauftragten der Arbeitnehmer müssen die Gesellenprüfung oder</w:t>
      </w:r>
      <w:r w:rsidR="008011D5">
        <w:rPr>
          <w:rFonts w:ascii="Arial" w:hAnsi="Arial" w:cs="Arial"/>
          <w:sz w:val="22"/>
          <w:szCs w:val="22"/>
        </w:rPr>
        <w:t xml:space="preserve"> eine entsprechende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Abschlussprüfung bestanden haben. Bei Fortbildungsprüfungen für</w:t>
      </w:r>
      <w:r w:rsidR="008011D5">
        <w:rPr>
          <w:rFonts w:ascii="Arial" w:hAnsi="Arial" w:cs="Arial"/>
          <w:sz w:val="22"/>
          <w:szCs w:val="22"/>
        </w:rPr>
        <w:t xml:space="preserve"> zulassungspflichtige und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zulassungsfreie Handwerke oder sonstige Gewerbe müssen die</w:t>
      </w:r>
      <w:r w:rsidR="00801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Beauftr</w:t>
      </w:r>
      <w:r w:rsidR="008011D5">
        <w:rPr>
          <w:rFonts w:ascii="Arial" w:hAnsi="Arial" w:cs="Arial"/>
          <w:sz w:val="22"/>
          <w:szCs w:val="22"/>
        </w:rPr>
        <w:t>agten der Arbeitgeber sowie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Arbeitnehmer oder Beauftragten der Arbeitnehmer in</w:t>
      </w:r>
      <w:r w:rsidR="00801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diesem Handwerk oder Gewerbe tätig sein.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Die Mitglieder werden von der Handwerkskammer für eine einheitliche Periode, längstens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fünf Jahre berufen.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Die Arbeitnehmer und die Beauftragten der Arbeitnehmer der von der Handwerkskammer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errichteten Prüfungsausschüsse werden auf Vorschlag der Mehrheit der Gesellenvertreter in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Vollversammlung der Handwerkskammer berufen.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(6) Lehrkräfte im beruflichen Schul- oder Fortbildungswesen werden im Einvernehmen mit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Schulaufsichtsbehörde oder der von ihr bestimmten Stelle berufen. Soweit es sich um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Lehrkräfte von Fortbildungseinrichtungen handelt, werden sie von den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Fortbildungseinrichtungen benannt.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 Werden Mitglieder nicht oder nicht in ausreichender Zahl innerhalb einer von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gesetzten angemessenen Frist vorgeschlagen, so beruft diese insoweit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nach pflichtgemäßem Ermessen.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 Die Mitglieder der Prüfungsausschüsse können nach Anhörung der an ihrer Berufung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Beteiligten aus wichtigem Grund abberufen werden.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 Die Mitglieder haben Stellvertreter. Die Absätze 3 bis 8 gelten für sie entsprechend.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 Die Tätigkeit im Prüfungsausschuss ist ehrenamtlich. Für bare Auslagen und für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Zeitversäumnis ist, soweit eine Entschädigung nicht von anderer Seite gewährt wird, eine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angemessene Entschädigung zu zahlen, deren Höhe von der Handwerkskammer mit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Genehmigung der obersten Landesbehörde festgesetzt wird.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(11) Von den Absätzen 2 und 9 darf nur abgewichen werden, wenn andernfalls die erforderliche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Zahl von Mitgliedern des Prüfungsausschusses nicht berufen werden kann.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 Ausschluss von der Mitwirkung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Bei der Zulassung und Prüfung dürfen Angehörige der Prüfungsbewerber nicht mitwirken.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Angehörige im Sinne des Satz 1 sind: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Verlobte,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Ehegatten,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eingetragene Lebenspartner,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Verwandte und Verschwägerte gerader Linie,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Geschwister,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Kinder der Geschwister,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Ehegatten der Geschwister und Geschwister der Ehegatten,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Geschwister der Eltern,</w:t>
      </w:r>
    </w:p>
    <w:p w:rsidR="004161DB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Personen, die durch ein auf längere Dauer angelegtes Pflegeverhältnis mit häuslicher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Gemeinschaft wie Eltern und Kind miteinander verbunden sind (Pflegeeltern und Pflegekinder).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Angehörige sind die im Satz 2 aufgeführten Personen auch dann, wenn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 den Fällen der Nummern 2, 3, 4 und 7 die die Beziehung begründende Ehe oder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Lebenspartnerschaft nicht mehr besteht;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 den Fällen der Nummern 4 bis 8 die Verwandtschaft oder Schwägerschaft durch Annahme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Kind erloschen ist;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im Falle der Nummer 9 die häusliche Gemeinschaft nicht mehr besteht, sofern die Personen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weiterhin wie Eltern und Kind miteinander verbunden sind.</w:t>
      </w:r>
    </w:p>
    <w:p w:rsidR="004161DB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Hält sich ein Prüfungsausschussmitglied nach Absatz 1 für ausgeschlossen oder bestehen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Zweifel, ob die Voraussetzungen des Absatzes 1 gegeben sind, ist dies der Handwerkskammer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mitzuteilen, während der Prüfung dem Prüfungsausschuss. Die Entscheidung über den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Ausschluss von der Mitwirkung trifft die Handwerkskammer, während der Prüfung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Prüfungsausschuss. Im letzteren Fall darf das betroffene Mitglied nicht mitwirken.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Ausgeschlossene Personen dürfen bei der Beratung und Beschlussfassung nicht zugegen sein.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Liegt ein Grund vor, der geeignet ist, Misstrauen gegen eine unparteiische Ausübung des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Prüfungsamtes zu rechtfertigen, oder wird von einem Prüfling das Vorliegen eines solchen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Grundes behauptet, so hat die betroffene Person dies der Handwerkskammer mitzuteilen,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während der Prüfung dem Prüfungsausschuss. Absatz 2 Sätze 2 bis 4 gelten entsprechend.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Personen, die gegenüber dem Prüfling Arbeitgeberfunktionen innehaben, sollen, soweit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nicht besondere Umstände eine Mitwirkung zulassen oder erfordern, nicht mitwirken.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Wenn in den Fällen der Absätze 1 bis 3 eine ordnungsgemäße Besetzung des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Prüfungsausschusses nicht möglich ist, kann die Handwerkskammer die Durchführung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 einem anderen oder einem gemeinsamen Prüfungsausschuss übertragen.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Erforderlichenfalls kann eine andere Handwerkskammer ersucht werden, die Prüfung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durchzuführen. Das Gleiche gilt, wenn eine objektive Durchführung der Prüfung aus anderen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Gründen nicht gewährleistet erscheint.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 Vorsitz, Beschlussfähigkeit, Abstimmung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Der Prüfungsausschuss wählt aus seiner Mitte einen Vorsitzenden und dessen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Stellvertreter. Der Vorsitzende und sein Stellvertreter sollen nicht derselben Mitgliedergruppe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angehören.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Der Prüfungsausschuss ist beschlussfähig, wenn zwei Drittel der Mitglieder, mindestens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drei, mitwirken. Er beschließt mit der Mehrheit der abgegebenen Stimmen. Bei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Stimmengleichheit gibt die Stimme des Vorsitzenden den Ausschlag.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 Geschäftsführung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Die Geschäftsführung des Prüfungsausschusses liegt in Abstimmung mit dem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 bei der Handwerkskammer. Einladungen (Vorbereitung, Durchführung,</w:t>
      </w:r>
      <w:r w:rsidR="00416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Nachbereitung), Protokollführung und Durchführung der Beschlüsse werden im Einvernehmen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dem Vorsitz des Prüfungsausschusses geregelt.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Zu den Sitzungen des Prüfungsausschusses sind die ordentlichen Mitglieder rechtzeitig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einzuladen. Stellvertretende Mitglieder werden in geeigneter Weise unterrichtet. Kann ein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Mitglied an einer Sitzung nicht teilnehmen, so soll es dies unverzüglich der zuständigen Stelle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mitteilen. Für ein verhindertes Mitglied ist ein stellvertretendes Mitglied einzuladen, welches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derselben Gruppe angehören soll.</w:t>
      </w:r>
    </w:p>
    <w:p w:rsidR="004161DB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Die Sitzungsprotokolle sind von der protokollführenden Person und dem Vorsitz zu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unterzeichnen.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23 Abs. 1 bleibt unberührt.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 Verschwiegenheit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Unbeschadet bestehender Informationspflichten, insbesondere gegenüber dem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Berufsbildungsausschuss, haben die Mitglieder des Prüfungsausschusses und sonstige mit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 befassten Personen über alle Prüfungsvorgänge Verschwiegenheit gegenüber Dritten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 wahren.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Abschnitt: Vorbereitung der Fortbildungsprüfung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 Prüfungstermine</w:t>
      </w:r>
    </w:p>
    <w:p w:rsidR="00AE70FD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Die Handwerkskammer legt die Prüfungstermine je nach Bedarf fest. Die Termine sollen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nach Möglichkeit mit den beruflichen Bildungsmaßnahmen der im Bezirk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vorhandenen Fortbildungseinrichtungen abgestimmt werden.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Die Handwerkskammer gibt die Prüfungstermine einschließlich der Anmeldefristen in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geeigneter Weise öffentlich mindestens einen Monat vor Ablauf der Anmeldefrist bekannt. Wird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Anmeldefrist überschritten, kann die Handwerkskammer die Annahme des Antrags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verweigern.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Werden für schriftlich durchzuführende Prüfungsbereiche einheitliche überregionale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Aufgaben verwendet, sind dafür entsprechende überregional abgestimmte Prüfungstage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anzusetzen.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 Zulassung zur Fortbildungsprüfung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Der Antrag auf Zulassung zur Prüfung ist schriftlich nach den von der Handwerkskammer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bestimmten Fristen und Formularen zu stellen. Dem Antrag auf Zulassung sind beizufügen: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Angaben zur Person und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Angaben über die in den Absätzen 2 bis 4 genannten Voraussetzungen.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Örtlich zuständig für die Zulassung zur Fortbildungsprüfung ist die Handwerkskammer, in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deren Bezirk der Prüfungsbewerber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an einer Maßnahme der Fortbildung teilgenommen hat oder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in einem Arbeitsverhältnis steht oder selbstständig tätig ist oder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seinen Wohnsitz hat.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Zur Fortbildungsprüfung ist zuzulassen, wer die Zulassungsvoraussetzungen einer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Fortbildungsregelung nach § 42 oder § 42 a HwO erfüllt.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(4) Sofern die Fortbildungsordnung (§ 42 HwO) oder ei</w:t>
      </w:r>
      <w:r w:rsidR="004161DB">
        <w:rPr>
          <w:rFonts w:ascii="Arial" w:hAnsi="Arial" w:cs="Arial"/>
          <w:sz w:val="22"/>
          <w:szCs w:val="22"/>
        </w:rPr>
        <w:t>ne Regelung der Handwerkskammer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(§</w:t>
      </w:r>
      <w:r w:rsidR="00416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 a HwO) Zulassungsvoraussetzungen vorsieht, sind ausländische Bildungsabschlüsse und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Zeiten der Berufstätigkeit im Ausland zu berücksichtigen (§ 42 b HwO).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 Befreiung von vergleichbaren Prüfungsbestandteilen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Der Prüfling ist auf Antrag von der Ablegung einzelner Prüfungsbestandteile durch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zu befreien, wenn er eine andere vergleichbare Prüfung vor einer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öffentlichen oder staatlich anerkannten Bildungseinrichtung oder vor einem staatlichen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 erfolgreich abgelegt hat und die Anmeldung zur Fortbildungsprüfung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innerhalb von fünf Jahren nach Bekanntgabe des Bestehens der anderen Prüfung erfolgt.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Anträge auf Befreiung von Prüfungsbestandteilen sind zusammen mit dem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Zulassungsantrag schriftlich bei der Handwerkskammer zu stellen. Die Nachweise über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Befreiungsgründe im Sinne von Abs. 1 sind beizufügen.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 Entscheidung über die Zulassung und über Befreiungsanträge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Über die Zulassung zur Fortbildungsprüfung entscheidet der Vorsitzende des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Prüfungsausschusses. Hält er die Zulassungsvoraussetzungen nicht für gegeben, so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entscheidet der Prüfungsausschuss.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Über die Befreiung von Prüfungsbestandteilen entscheidet die Handwerkskammer. Hält sie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Befreiungsgründe nicht für gegeben, so entscheidet der Prüfungsausschuss.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Die Entscheidungen über die Zulassung und die Befreiung von Prüfungsbestandteilen sind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 Prüfungsbewerber rechtzeitig unter Angabe des Prüfungstages und -ortes einschließlich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erlaubten Arbeits- und Hilfsmittel mitzuteilen. Die Entscheidungen über die Nichtzulassung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über die Ablehnung der Befreiung sind dem Prüfungsbewerber schriftlich mit Begründung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bekannt zu geben.</w:t>
      </w:r>
    </w:p>
    <w:p w:rsidR="00157714" w:rsidRDefault="00A21293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(4) Die Zulassung und die Befreiung von Prüfungsbestandteilen können von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Handwerkskammer im Einvernehmen mit dem Prüfungsausschuss bis zur Bekanntgabe des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Prüfungsergebnisses widerrufen werden, wenn sie aufgrund gefälschter Unterlagen oder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falscher Angaben ausgesprochen wurde.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 Prüfungsgebühr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Prüfling hat die Prüfungsgebühr mit Antrag auf Zulassung an die Handwerkskammer zu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entrichten. Die Höhe der Prüfungsgebühr bestimmt sich nach der Gebührenordnung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Abschnitt: Durchführung der Fortbildungsprüfung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 Prüfungsgegenstand, Prüfungssprache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Soweit keine Fortbildungsordnungen nach § 42 HwO erlassen sind, regelt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Ziel, Inhalt und Anforderungen der Prüfung durch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Fortbildungsprüfungsregelungen nach § 42 a HwO.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Die Prüfungssprache ist Deutsch, soweit nicht die Fortbildungsordnung oder die</w:t>
      </w:r>
      <w:r w:rsidR="004161DB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rüfungsregelung der Handwerkskammer etwas anderes vorsieht.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 Gliederung der 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Gliederung der Prüfung ergibt sich aus den Fortbildungsordnungen oder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Fortbildungsprüfungsregelungen gemäß §§ 42, 42 a HwO (Prüfungsanforderungen).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 Prüfungsaufgaben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Der Prüfungsausschuss beschließt auf der Grundlage der Prüfungsanforderungen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Prüfungsaufgaben.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Überregional oder von einem Aufgabenerstellungsausschuss bei der Handwerkskammer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erstellte oder ausgewählte Aufgaben sind vom Prüfungsausschuss zu übernehmen, sofern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diese Aufgaben von Gremien erstellt oder ausgewählt und beschlossen wurden,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entsprechend § 2 Abs. 2 zusammengesetzt sind und die Handwerkskammer über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Übernahme entschieden hat.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 Nachteilsausgleich für behinderte Menschen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Durchführung der Prüfung sollen die besonderen Verhältnisse behinderter Menschen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berücksichtigt werden. Dies gilt insbesondere für die Dauer der Prüfung, die Zulassung von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Hilfsmitteln und die Inanspruchnahme von Hilfeleistungen Dritter wie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Gebärdensprachdolmetscher für </w:t>
      </w:r>
      <w:r w:rsidR="004161DB">
        <w:rPr>
          <w:rFonts w:ascii="Arial" w:hAnsi="Arial" w:cs="Arial"/>
          <w:sz w:val="22"/>
          <w:szCs w:val="22"/>
        </w:rPr>
        <w:t>Hörbehinderte</w:t>
      </w:r>
      <w:r>
        <w:rPr>
          <w:rFonts w:ascii="Arial" w:hAnsi="Arial" w:cs="Arial"/>
          <w:sz w:val="22"/>
          <w:szCs w:val="22"/>
        </w:rPr>
        <w:t xml:space="preserve"> Menschen (§ 42 l HwO). Die Art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Behinderung ist mit dem Antrag auf Zulassung zur Prüfung (§ 8 Abs. 1) nachzuweisen.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16 Nichtöffentlichkeit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Prüfungen sind nicht öffentlich. Vertreter der obersten Landesbehörden,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sowie die Mitglieder des Berufsbildungsausschusses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können anwesend sein. Der Prüfungsausschuss kann im Einvernehmen mit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Handwerkskammer andere Personen als Gäste zulassen. An der Beratung über das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Prüfungsergebnis im Sinne des § 22 Abs. 1 Satz 2 dürfen nur die Mitglieder des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Prüfungsausschusses beteiligt sein.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17 Leitung, Aufsicht und Niederschrift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Die Prüfung wird unter Leitung des Vorsitzes vom gesamten Prüfungsausschuss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unbeschadet der Regelungen in § 22 Abs. 3 abgenommen.</w:t>
      </w:r>
    </w:p>
    <w:p w:rsidR="00AE70FD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Die Handwerkskammer regelt im Einvernehmen mit dem Prüfungsausschuss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Aufsichtsführung, die sicherstellen soll, dass die Prüfungsleistungen selbstständig und nur mit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erlaubten Arbeits- und Hilfsmitteln durchgeführt werden.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Störungen durch äußere Einflüsse müssen von Prüflingen ausdrücklich gegenüber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Aufsicht oder dem Vorsitz gerügt werden. Entstehen durch die Störungen erhebliche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Beeinträchtigungen, entscheidet der Prüfungsausschuss über Art und Umfang von geeigneten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Ausgleichsmaßnahmen. Bei der Durchführung von schriftlichen Prüfungen kann die Aufsicht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über die Gewährung einer Zeitverlängerung entscheiden.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Über den Ablauf der Prüfung ist eine Niederschrift zu fertigen.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18 Ausweispflicht und Belehrung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Prüfling hat sich auf Verlangen des Vorsitzes oder der Aufsichtsführung über seine Person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auszuweisen. Er ist vor Beginn der Prüfung über den Prüfungsablauf, die zur Verfügung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stehende Zeit, die erlaubten Arbeits- und Hilfsmittel, die Folgen von Täuschungshandlungen,</w:t>
      </w:r>
      <w:r w:rsidR="00416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Ordnungsverstößen, Rücktritt und Nichtteilnahme zu belehren.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19 Täuschungshandlungen und Ordnungsverstöße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Unternimmt es ein Prüfling, das Prüfungsergebnis durch Täuschung oder Benutzung nicht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zugelassener Hilfsmittel zu beeinflussen oder leistet er Beihilfe zu einer Täuschung oder einem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Täuschungsversuch, liegt eine Täuschungshandlung vor.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Wird während der Prüfung festgestellt, dass ein Prüfling eine Täuschungshandlung begeht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oder einen entsprechenden Verdacht hervorruft, ist der Sachverhalt von der Aufsichtsführung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festzustellen und zu protokollieren. Der Prüfling setzt die Prüfung vorbehaltlich 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Entscheidung des Prüfungsausschusses über die Täuschungshandlung fort.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Liegt eine Täuschungshandlung vor, wird die von der Täuschungshandlung betroffene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Prüfungsleistung mit „ungenügend“ (= 0 Punkte) bewertet. In schweren Fällen, insbesondere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 vorbereiteten Täuschungshandlungen, kann der Prüfungsausschuss den Prüfungsteil oder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gesamte Prüfung mit „ungenügend“ (= 0 Punkte) bewerten.</w:t>
      </w:r>
    </w:p>
    <w:p w:rsidR="00422F80" w:rsidRDefault="00A21293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(4) Behindert ein Prüfling durch sein Verhalten die Prüfung so, dass die Prüfung nicht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ordnungsgemäß durchgeführt werden kann, ist er von der Teilnahme auszuschließen. Die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Entscheidung hierüber kann von der Aufsichtsführung getroffen werden. Die endgültige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Entscheidung über die Folgen für den Prüfling hat der Prüfungsausschuss unverzüglich zu</w:t>
      </w:r>
      <w:r w:rsidR="00AE70FD">
        <w:rPr>
          <w:rFonts w:ascii="Arial" w:hAnsi="Arial" w:cs="Arial"/>
          <w:sz w:val="22"/>
          <w:szCs w:val="22"/>
        </w:rPr>
        <w:t xml:space="preserve"> </w:t>
      </w:r>
      <w:r w:rsidR="00157714">
        <w:rPr>
          <w:rFonts w:ascii="Arial" w:hAnsi="Arial" w:cs="Arial"/>
          <w:sz w:val="22"/>
          <w:szCs w:val="22"/>
        </w:rPr>
        <w:t>treffen. Absatz 3 gilt entsprechend. Gleiches gilt bei Nichtbeachtung der Sicherheitsvorschriften.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Vor Entscheidungen des Prüfungsausschusses nach den Absätzen 3 und 4 ist der Prüfling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 hören.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 Rücktritt, Nichtteilnahme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Der Prüfling kann nach erfolgter Anmeldung vor Beginn der Prüfung (bei schriftlichen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Prüfungen vor Bekanntgabe der Prüfungsaufgaben) durch schriftliche Erklärung zurücktreten. In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diesem Fall gilt die Prüfung als nicht abgelegt.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Versäumt der Prüfling einen Prüfungstermin, so werden bereits erbrachte selbstständige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Prüfungsleistungen anerkannt, wenn ein wichtiger Grund für die Nichtteilnahme vorliegt.</w:t>
      </w:r>
      <w:r w:rsidR="00A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Selbstständige Prüfungsleistungen sind solche, die thematisch klar abgrenzbar und nicht auf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andere Prüfungsleistung bezogen sind sowie eigenständig bewertet werden.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Erfolgt der Rücktritt nach Beginn der Prüfung oder nimmt der Prüfling an der Prüfung nicht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teil, ohne dass ein wichtiger Grund vorliegt, so wird die Prüfung mit „ungenügend“ (= 0 Punkte)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bewertet.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Der wichtige Grund ist unverzüglich mitzuteilen und nachzuweisen. Im Krankheitsfall ist die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Vorlage eines ärztlichen Attestes erforderlich. Über das Vorliegen eines wichtigen Grundes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entscheidet der Prüfungsausschuss.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Abschnitt Bewertung, Feststellung und Beurkundung des Prüfungsergebnisses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21 Bewertungsschlüssel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Prüfungsleistungen sind wie folgt zu bewerten:</w:t>
      </w:r>
      <w:r w:rsidR="00422F8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Eine den Anforderungen in besonderem Maße entsprechende Leistung = 100-92 Punkte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= Note1 = sehr gut;</w:t>
      </w:r>
    </w:p>
    <w:p w:rsidR="007F16F9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den Anforderungen voll entsprechende Leistung = unter 92-81 Punkte = Note 2 = gut;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den Anforderungen im Allgemeinen entsprechende Leistung = unter 81-67 Punkte = Note 3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befriedigend;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Leistung, die zwar Mängel aufweist, aber im Ganzen den Anforderungen noch entspricht =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 67- 50 Punkte = Note 4 = ausreichend;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Leistung, die den Anforderungen nicht entspricht, jedoch erkennen lässt, dass gewisse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Grundkenntnisse noch vorhanden sind = unter 50-30 Punkte = Note 5 = mangelhaft;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Leistung, die den Anforderungen nicht entspricht und bei der selbst Grundkenntnisse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fehlen = unter 30-0 Punkte = Note 6 = ungenügend.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Hundert-Punkte-Schlüssel ist der Bewertung aller Prüfungsleistungen sowie der Ermittlung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Zwischen- und Gesamtergebnissen zugrunde zu legen.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22 Bewertungsverfahren, Feststellung der Prüfungsergebnisse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Jede Prüfungsleistung ist von jedem Mitglied des Prüfungsausschusses selbstständig zu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bewerten. Beschlüsse über die Bewertung einzelner Prüfungsleistungen, der Prüfung insgesamt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über das Bestehen und Nichtbestehen der Prüfung werden vom Prüfungsausschuss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gefasst. Bei der gemeinsamen Feststellung der Ergebnisse dienen die Einzelbewertungen der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Prüfungsausschussmitglieder als Grundlage.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Bei der Feststellung von Prüfungsergebnissen bleiben Prüfungsleistungen, von denen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befreit worden ist (§ 9), außer Betracht.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Zur Vorbereitung der Beschlussfassung nach Absatz 1 kann der Vorsitz mindestens zwei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Mitglieder mit der Bewertung einzelner, nicht mündlich zu erbringender Prüfungsleistungen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beauftragen. Die Beauftragten sollen nicht derselben Mitgliedergruppe angehören. Die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beauftragten Mitglieder dokumentieren die wesentlichen Abläufe und halten die für die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Bewertung erheblichen Tatsachen fest (§ 42 c i. V. m. § 35 a Abs. 2 HwO). Die übrigen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Mitglieder des Prüfungsausschusses sind bei der Beschlussfassung nach Absatz 1 nicht an die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Einzelbewertungen der beauftragten Mitglieder gebunden.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23 Ergebnisniederschrift, Mitteilung über Bestehen oder Nichtbestehen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Über die Feststellung der einzelnen Prüfungsergebnisse ist eine Niederschrift auf den von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Handwerkskammer genehmigten Formularen zu fertigen. Sie ist von den Mitgliedern des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Prüfungsausschusses zu unterzeichnen und der zuständigen Stelle unverzüglich vorzulegen.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Die Prüfung ist vorbehaltlich der Fortbildungsregelungen nach §§ 42, 42 a HwO insgesamt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bestanden, wenn in jedem der einzelnen Prüfungsbestandteile mindestens ausreichende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Leistungen erbracht worden sind.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Dem Prüfling soll unmittelbar nach Feststellung des Gesamtergebnisses der Prüfung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mitgeteilt werden, ob er die Prüfung „bestanden“ oder „nicht bestanden“ hat. Kann die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Feststellung des Prüfungsergebnisses nicht am Tag der letzten Prüfungsleistung getroffen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werden, so hat der Prüfungsausschuss diese unverzüglich zu treffen und dem Prüfling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mitzuteilen.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(4) Über das Bestehen eines Prüfungsteils erhält der Prüfling Bescheid, wenn für den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Prüfungsteil ein eigener Prüfungsausschuss gemäß § 1 Abs. 2 gebildet werden kann.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24 Prüfungszeugnis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Über die Prüfung erhält der Prüfling von der Handwerkskammer ein Zeugnis (§ 42 c i. V. m.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31 Abs. 2 HwO). Der von der Handwerkskammer vorgeschriebene Vordruck, soweit keine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Bestimmungen der Fortbildungsordnungen nach § 42 HwO entgegenstehen, ist zu verwenden.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Das Prüfungszeugnis enthält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Bezeichnung „Zeugnis“ und die Angabe der Fortbildungsregelung,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Personalien des Prüflings (Name, Vorname, Geburtsdatum),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Bezeichnung der Fortbildungsprüfung mit Datum und Fundstelle,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Ergebnisse der Fortbildungsprüfung nach Maßgabe der jeweiligen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Fortbildungsregelung sowie Angaben zu Befreiungen von Prüfungsbestandteilen,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das Datum des Bestehens der Prüfung,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Namenswiedergaben (Faksimile) oder Unterschriften des Vorsitzes des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Prüfungsausschusses und der beauftragten Person der Handwerkskammer mit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Siegel.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Dem Zeugnis ist auf Antrag des Prüflings eine englischsprachige und eine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französischsprachige Übersetzung beizufügen (§ 42 c i. V. m. § 31 Abs. 3 Satz 1 HwO).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Im Prüfungszeugnis soll darüber hinaus ein Hinweis auf die vorläufige Einordnung des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Abschlusses im Deutschen Qualifikationsrahmen (DQR) und das sich aus der Verknüpfung des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DQR mit dem Europäischen Qualifikationsrahmen (EQR) ergebende EQR-Niveau enthalten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25 Bescheid über nicht bestandene 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Bei nicht bestandener Prüfung erhält der Prüfling von der Handwerkskammer einen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schriftlichen Bescheid. Darin ist anzugeben, welche Prüfungsleistungen in einer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Wiederholungsprüfung nicht mehr wiederholt werden müssen (§ 26 Abs. 2 bis 3). Die von der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Handwerkskammer vorgeschriebenen Formulare sind zu verwenden.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Auf die besonderen Bedingungen der Wiederholungsprüfung gemäß § 26 ist hinzuweisen.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 Abschnitt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Wiederholungsprüfung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26 Wiederholungsprüfung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Eine Fortbildungsprüfung, die nicht bestanden ist, kann zweimal wiederholt werden. Ebenso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können Prüfungsteile, die nicht bestanden sind, zweimal wiederholt werden, wenn ihr Bestehen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Voraussetzung für die Zulassung zu einem weiteren Prüfungsteil ist. Es gelten die in der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Wiederholungsprüfung erzielten Ergebnisse.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Hat der Prüfling bei nicht bestandener Prüfung in einer selbstständigen Prüfungsleistung (§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 Abs. 2 Satz 2) mindestens ausreichende Leistungen erbracht, so ist diese auf Antrag des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Prüflings nicht zu wiederholen, sofern der Prüfling sich innerhalb von zwei Jahren – gerechnet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vom Tage der Feststellung des Ergebnisses der nicht bestandenen Prüfung an – zur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Wiederholungsprüfung anmeldet. Die Bewertung einer selbstständigen Prüfungsleistung (§ 20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Abs. 2 Satz 2) ist im Rahmen der Wiederholungsprüfung zu übernehmen.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Die Prüfung kann frühestens zum nächsten Prüfungstermin (§ 7) wiederholt werden.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Abschnitt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Schlussbestimmungen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27 Rechtsbehelfsbelehrung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Maßnahmen und Entscheidungen der Prüfungsausschüsse sowie der Handwerkskammer sind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 ihrer schriftlichen Bekanntgabe an die Prüfungsbewerberin/ den Prüfungsbewerber bzw. den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Prüfling mit einer Rechtsbehelfsbelehrung gemäß § 70 VwGO zu versehen.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28 Prüfungsunterlagen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Auf Antrag ist dem Prüfling binnen der gesetzlich vorgegebenen Frist zur Einlegung eines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Rechtsbehelfs Einsicht in seine Prüfungsunterlagen zu gewähren. Die schriftlichen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Prüfungsarbeiten sind ein Jahr, die Niederschriften gemäß § 23 Abs. 1 10 Jahre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aufzubewahren. Die Aufbewahrungsfrist beginnt mit dem Zugang des Prüfungsbescheides nach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24 Abs. 1 bzw. </w:t>
      </w:r>
      <w:r>
        <w:rPr>
          <w:rFonts w:ascii="Arial" w:hAnsi="Arial" w:cs="Arial"/>
          <w:sz w:val="22"/>
          <w:szCs w:val="22"/>
        </w:rPr>
        <w:lastRenderedPageBreak/>
        <w:t>§ 25 Abs. 1. Der Ablauf der vorgenannten Fristen wird durch das Einlegen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eines Rechtsmittels gehemmt.</w:t>
      </w:r>
    </w:p>
    <w:p w:rsidR="00157714" w:rsidRDefault="00157714" w:rsidP="001577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Die Aufbewahrung kann auch elektronisch erfolgen. Landesrechtliche Vorschriften zur</w:t>
      </w:r>
      <w:r w:rsidR="007F16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Archivierung bleiben unberührt.</w:t>
      </w:r>
      <w:bookmarkStart w:id="0" w:name="_GoBack"/>
      <w:bookmarkEnd w:id="0"/>
    </w:p>
    <w:sectPr w:rsidR="00157714" w:rsidSect="001870A2">
      <w:pgSz w:w="12240" w:h="15840"/>
      <w:pgMar w:top="1417" w:right="1417" w:bottom="1134" w:left="1417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GL 31034-1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714"/>
    <w:rsid w:val="00024606"/>
    <w:rsid w:val="0004328C"/>
    <w:rsid w:val="00043FA5"/>
    <w:rsid w:val="0005065B"/>
    <w:rsid w:val="00071E3D"/>
    <w:rsid w:val="0007392A"/>
    <w:rsid w:val="00085BA8"/>
    <w:rsid w:val="000B35DC"/>
    <w:rsid w:val="000E6B7E"/>
    <w:rsid w:val="000F031E"/>
    <w:rsid w:val="000F67B6"/>
    <w:rsid w:val="0011717F"/>
    <w:rsid w:val="00120BD5"/>
    <w:rsid w:val="0014257B"/>
    <w:rsid w:val="00147334"/>
    <w:rsid w:val="0015294F"/>
    <w:rsid w:val="00157714"/>
    <w:rsid w:val="00165898"/>
    <w:rsid w:val="00167559"/>
    <w:rsid w:val="001870A2"/>
    <w:rsid w:val="001A4B18"/>
    <w:rsid w:val="001C7C79"/>
    <w:rsid w:val="001E6446"/>
    <w:rsid w:val="001F19D3"/>
    <w:rsid w:val="001F1DA0"/>
    <w:rsid w:val="001F3DDF"/>
    <w:rsid w:val="00210BAC"/>
    <w:rsid w:val="00215FE5"/>
    <w:rsid w:val="00221301"/>
    <w:rsid w:val="00241A31"/>
    <w:rsid w:val="00254491"/>
    <w:rsid w:val="00255106"/>
    <w:rsid w:val="00275189"/>
    <w:rsid w:val="00276DB5"/>
    <w:rsid w:val="00290DCC"/>
    <w:rsid w:val="002A3B90"/>
    <w:rsid w:val="002E3F1A"/>
    <w:rsid w:val="002F08F3"/>
    <w:rsid w:val="0030092E"/>
    <w:rsid w:val="003449DE"/>
    <w:rsid w:val="0034655E"/>
    <w:rsid w:val="00347E29"/>
    <w:rsid w:val="00352986"/>
    <w:rsid w:val="003656CB"/>
    <w:rsid w:val="00366F42"/>
    <w:rsid w:val="00371396"/>
    <w:rsid w:val="00371ECC"/>
    <w:rsid w:val="003B28BA"/>
    <w:rsid w:val="003B431A"/>
    <w:rsid w:val="003B70BB"/>
    <w:rsid w:val="003E036E"/>
    <w:rsid w:val="0040183F"/>
    <w:rsid w:val="004124F5"/>
    <w:rsid w:val="004161DB"/>
    <w:rsid w:val="00422F80"/>
    <w:rsid w:val="00426FDE"/>
    <w:rsid w:val="004432EB"/>
    <w:rsid w:val="00465D55"/>
    <w:rsid w:val="00497AD2"/>
    <w:rsid w:val="004B2392"/>
    <w:rsid w:val="004C015B"/>
    <w:rsid w:val="004C06F4"/>
    <w:rsid w:val="004C7D32"/>
    <w:rsid w:val="004D112F"/>
    <w:rsid w:val="004E3FAA"/>
    <w:rsid w:val="004F0021"/>
    <w:rsid w:val="004F093C"/>
    <w:rsid w:val="00504ED1"/>
    <w:rsid w:val="00506BB5"/>
    <w:rsid w:val="00530613"/>
    <w:rsid w:val="005445E8"/>
    <w:rsid w:val="00557500"/>
    <w:rsid w:val="00575B9B"/>
    <w:rsid w:val="005829EF"/>
    <w:rsid w:val="00583518"/>
    <w:rsid w:val="005E3A25"/>
    <w:rsid w:val="0065424C"/>
    <w:rsid w:val="00662BF6"/>
    <w:rsid w:val="0067647E"/>
    <w:rsid w:val="006A6777"/>
    <w:rsid w:val="006A7B26"/>
    <w:rsid w:val="006B47EC"/>
    <w:rsid w:val="006C021E"/>
    <w:rsid w:val="006D01CC"/>
    <w:rsid w:val="006E4705"/>
    <w:rsid w:val="006E747A"/>
    <w:rsid w:val="006F6880"/>
    <w:rsid w:val="00705B71"/>
    <w:rsid w:val="00727B64"/>
    <w:rsid w:val="00743C66"/>
    <w:rsid w:val="00763CDF"/>
    <w:rsid w:val="00765616"/>
    <w:rsid w:val="00781FFC"/>
    <w:rsid w:val="0078360F"/>
    <w:rsid w:val="00793785"/>
    <w:rsid w:val="007B0191"/>
    <w:rsid w:val="007B06A1"/>
    <w:rsid w:val="007C53B9"/>
    <w:rsid w:val="007D634E"/>
    <w:rsid w:val="007E7273"/>
    <w:rsid w:val="007E78BA"/>
    <w:rsid w:val="007F16F9"/>
    <w:rsid w:val="007F20CA"/>
    <w:rsid w:val="008011D5"/>
    <w:rsid w:val="00811BCE"/>
    <w:rsid w:val="00822DC0"/>
    <w:rsid w:val="008355F6"/>
    <w:rsid w:val="00844986"/>
    <w:rsid w:val="00852DD3"/>
    <w:rsid w:val="0085415A"/>
    <w:rsid w:val="008842F3"/>
    <w:rsid w:val="008C158D"/>
    <w:rsid w:val="008C15FD"/>
    <w:rsid w:val="008E3368"/>
    <w:rsid w:val="00905803"/>
    <w:rsid w:val="009748B6"/>
    <w:rsid w:val="009A49C5"/>
    <w:rsid w:val="009B5139"/>
    <w:rsid w:val="009E3EE5"/>
    <w:rsid w:val="00A00BEB"/>
    <w:rsid w:val="00A03E1B"/>
    <w:rsid w:val="00A03F4C"/>
    <w:rsid w:val="00A0629C"/>
    <w:rsid w:val="00A070C7"/>
    <w:rsid w:val="00A073BF"/>
    <w:rsid w:val="00A1364D"/>
    <w:rsid w:val="00A21293"/>
    <w:rsid w:val="00A5051D"/>
    <w:rsid w:val="00A51C86"/>
    <w:rsid w:val="00A65613"/>
    <w:rsid w:val="00A908E1"/>
    <w:rsid w:val="00A90FC0"/>
    <w:rsid w:val="00A91036"/>
    <w:rsid w:val="00A96F7C"/>
    <w:rsid w:val="00AA1B1A"/>
    <w:rsid w:val="00AA23AF"/>
    <w:rsid w:val="00AA3CF2"/>
    <w:rsid w:val="00AA43C2"/>
    <w:rsid w:val="00AA7CA4"/>
    <w:rsid w:val="00AC5560"/>
    <w:rsid w:val="00AD0E35"/>
    <w:rsid w:val="00AE465B"/>
    <w:rsid w:val="00AE70FD"/>
    <w:rsid w:val="00AF0685"/>
    <w:rsid w:val="00B06A2B"/>
    <w:rsid w:val="00B1003F"/>
    <w:rsid w:val="00B1341D"/>
    <w:rsid w:val="00B1604A"/>
    <w:rsid w:val="00B24BAF"/>
    <w:rsid w:val="00B3670A"/>
    <w:rsid w:val="00B4323C"/>
    <w:rsid w:val="00B66E83"/>
    <w:rsid w:val="00B74D98"/>
    <w:rsid w:val="00B958B3"/>
    <w:rsid w:val="00BB1312"/>
    <w:rsid w:val="00BC145E"/>
    <w:rsid w:val="00BD7B76"/>
    <w:rsid w:val="00C0108B"/>
    <w:rsid w:val="00C14DA2"/>
    <w:rsid w:val="00C316CB"/>
    <w:rsid w:val="00C335AC"/>
    <w:rsid w:val="00C5628A"/>
    <w:rsid w:val="00C857FC"/>
    <w:rsid w:val="00C8684D"/>
    <w:rsid w:val="00CB4FDB"/>
    <w:rsid w:val="00CB624B"/>
    <w:rsid w:val="00CE47EC"/>
    <w:rsid w:val="00CF1CBE"/>
    <w:rsid w:val="00D075F8"/>
    <w:rsid w:val="00D1607A"/>
    <w:rsid w:val="00D23AE8"/>
    <w:rsid w:val="00D23C19"/>
    <w:rsid w:val="00D2410C"/>
    <w:rsid w:val="00D25E95"/>
    <w:rsid w:val="00D36F6A"/>
    <w:rsid w:val="00D46E23"/>
    <w:rsid w:val="00D57522"/>
    <w:rsid w:val="00D634A0"/>
    <w:rsid w:val="00D96151"/>
    <w:rsid w:val="00D978BE"/>
    <w:rsid w:val="00DA1B63"/>
    <w:rsid w:val="00DD4624"/>
    <w:rsid w:val="00DF2659"/>
    <w:rsid w:val="00DF50DB"/>
    <w:rsid w:val="00E06942"/>
    <w:rsid w:val="00E12E4E"/>
    <w:rsid w:val="00E21477"/>
    <w:rsid w:val="00E32EA1"/>
    <w:rsid w:val="00E50188"/>
    <w:rsid w:val="00E6074C"/>
    <w:rsid w:val="00E626CD"/>
    <w:rsid w:val="00E840CD"/>
    <w:rsid w:val="00E91B9F"/>
    <w:rsid w:val="00EA287F"/>
    <w:rsid w:val="00EB1E6B"/>
    <w:rsid w:val="00F00905"/>
    <w:rsid w:val="00F02556"/>
    <w:rsid w:val="00F23000"/>
    <w:rsid w:val="00F23F6A"/>
    <w:rsid w:val="00F246C0"/>
    <w:rsid w:val="00F61F98"/>
    <w:rsid w:val="00F70ED7"/>
    <w:rsid w:val="00F767A6"/>
    <w:rsid w:val="00F916F2"/>
    <w:rsid w:val="00FC4659"/>
    <w:rsid w:val="00FC6642"/>
    <w:rsid w:val="00FD0A6B"/>
    <w:rsid w:val="00FD2DB5"/>
    <w:rsid w:val="00FE3731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GL 31034-1" w:eastAsiaTheme="minorHAnsi" w:hAnsi="TGL 31034-1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3475</Words>
  <Characters>21894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6</cp:revision>
  <dcterms:created xsi:type="dcterms:W3CDTF">2015-11-30T16:04:00Z</dcterms:created>
  <dcterms:modified xsi:type="dcterms:W3CDTF">2015-12-01T15:21:00Z</dcterms:modified>
</cp:coreProperties>
</file>